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组织分离器</w:t>
      </w:r>
    </w:p>
    <w:p>
      <w:pPr>
        <w:pStyle w:val="9"/>
        <w:spacing w:before="0" w:after="0"/>
        <w:ind w:firstLine="630"/>
        <w:jc w:val="both"/>
        <w:textAlignment w:val="baseline"/>
        <w:rPr>
          <w:rFonts w:ascii="黑体" w:hAnsi="黑体" w:eastAsia="黑体" w:cs="黑体"/>
          <w:sz w:val="32"/>
          <w:szCs w:val="32"/>
        </w:rPr>
      </w:pPr>
    </w:p>
    <w:p>
      <w:pPr>
        <w:pStyle w:val="9"/>
        <w:spacing w:before="0" w:after="0" w:line="560" w:lineRule="exact"/>
        <w:ind w:firstLine="630"/>
        <w:jc w:val="both"/>
        <w:textAlignment w:val="baseline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一、拟购置进口产品信息 </w:t>
      </w:r>
    </w:p>
    <w:tbl>
      <w:tblPr>
        <w:tblStyle w:val="12"/>
        <w:tblW w:w="7344" w:type="dxa"/>
        <w:tblInd w:w="591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55"/>
        <w:gridCol w:w="2126"/>
        <w:gridCol w:w="883"/>
        <w:gridCol w:w="2380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</w:trPr>
        <w:tc>
          <w:tcPr>
            <w:tcW w:w="19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9"/>
              <w:spacing w:before="0" w:after="0" w:line="560" w:lineRule="exact"/>
              <w:jc w:val="center"/>
              <w:textAlignment w:val="baseline"/>
              <w:rPr>
                <w:color w:val="auto"/>
              </w:rPr>
            </w:pPr>
            <w:r>
              <w:rPr>
                <w:color w:val="auto"/>
                <w:sz w:val="32"/>
                <w:szCs w:val="32"/>
              </w:rPr>
              <w:t>设备名称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9"/>
              <w:spacing w:before="0" w:after="0" w:line="560" w:lineRule="exact"/>
              <w:jc w:val="center"/>
              <w:textAlignment w:val="baseline"/>
              <w:rPr>
                <w:color w:val="auto"/>
              </w:rPr>
            </w:pPr>
            <w:r>
              <w:rPr>
                <w:color w:val="auto"/>
                <w:sz w:val="32"/>
                <w:szCs w:val="32"/>
              </w:rPr>
              <w:t>预算单价</w:t>
            </w:r>
          </w:p>
        </w:tc>
        <w:tc>
          <w:tcPr>
            <w:tcW w:w="8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9"/>
              <w:spacing w:before="0" w:after="0" w:line="560" w:lineRule="exact"/>
              <w:jc w:val="center"/>
              <w:textAlignment w:val="baseline"/>
              <w:rPr>
                <w:color w:val="auto"/>
              </w:rPr>
            </w:pPr>
            <w:r>
              <w:rPr>
                <w:color w:val="auto"/>
                <w:sz w:val="32"/>
                <w:szCs w:val="32"/>
              </w:rPr>
              <w:t>数量</w:t>
            </w:r>
          </w:p>
        </w:tc>
        <w:tc>
          <w:tcPr>
            <w:tcW w:w="2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9"/>
              <w:spacing w:before="0" w:after="0" w:line="560" w:lineRule="exact"/>
              <w:jc w:val="center"/>
              <w:textAlignment w:val="baseline"/>
              <w:rPr>
                <w:color w:val="auto"/>
              </w:rPr>
            </w:pPr>
            <w:r>
              <w:rPr>
                <w:color w:val="auto"/>
                <w:sz w:val="32"/>
                <w:szCs w:val="32"/>
              </w:rPr>
              <w:t>预算总价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</w:trPr>
        <w:tc>
          <w:tcPr>
            <w:tcW w:w="19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9"/>
              <w:spacing w:before="0" w:after="0" w:line="560" w:lineRule="exact"/>
              <w:jc w:val="center"/>
              <w:textAlignment w:val="baseline"/>
              <w:rPr>
                <w:color w:val="auto"/>
                <w:sz w:val="32"/>
                <w:szCs w:val="32"/>
              </w:rPr>
            </w:pPr>
            <w:r>
              <w:rPr>
                <w:rFonts w:hint="eastAsia"/>
                <w:color w:val="auto"/>
                <w:sz w:val="32"/>
                <w:szCs w:val="32"/>
              </w:rPr>
              <w:t>组织分离器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9"/>
              <w:spacing w:before="0" w:after="0" w:line="560" w:lineRule="exact"/>
              <w:jc w:val="center"/>
              <w:textAlignment w:val="baseline"/>
              <w:rPr>
                <w:color w:val="auto"/>
                <w:sz w:val="32"/>
                <w:szCs w:val="32"/>
              </w:rPr>
            </w:pPr>
            <w:r>
              <w:rPr>
                <w:color w:val="auto"/>
                <w:sz w:val="32"/>
                <w:szCs w:val="32"/>
              </w:rPr>
              <w:t>44万元</w:t>
            </w:r>
          </w:p>
        </w:tc>
        <w:tc>
          <w:tcPr>
            <w:tcW w:w="8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9"/>
              <w:spacing w:before="0" w:after="0" w:line="560" w:lineRule="exact"/>
              <w:jc w:val="center"/>
              <w:textAlignment w:val="baseline"/>
              <w:rPr>
                <w:color w:val="auto"/>
                <w:sz w:val="32"/>
                <w:szCs w:val="32"/>
              </w:rPr>
            </w:pPr>
            <w:r>
              <w:rPr>
                <w:color w:val="auto"/>
                <w:sz w:val="32"/>
                <w:szCs w:val="32"/>
              </w:rPr>
              <w:t>1台</w:t>
            </w:r>
          </w:p>
        </w:tc>
        <w:tc>
          <w:tcPr>
            <w:tcW w:w="2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9"/>
              <w:spacing w:before="0" w:after="0" w:line="560" w:lineRule="exact"/>
              <w:jc w:val="center"/>
              <w:textAlignment w:val="baseline"/>
              <w:rPr>
                <w:color w:val="auto"/>
                <w:sz w:val="32"/>
                <w:szCs w:val="32"/>
              </w:rPr>
            </w:pPr>
            <w:r>
              <w:rPr>
                <w:color w:val="auto"/>
                <w:sz w:val="32"/>
                <w:szCs w:val="32"/>
              </w:rPr>
              <w:t>44万元</w:t>
            </w:r>
          </w:p>
        </w:tc>
      </w:tr>
    </w:tbl>
    <w:p>
      <w:pPr>
        <w:numPr>
          <w:numId w:val="0"/>
        </w:numPr>
        <w:spacing w:line="560" w:lineRule="exact"/>
        <w:ind w:firstLine="640" w:firstLineChars="200"/>
        <w:jc w:val="left"/>
      </w:pPr>
      <w:r>
        <w:rPr>
          <w:rFonts w:hint="eastAsia" w:ascii="黑体" w:hAnsi="黑体" w:eastAsia="黑体" w:cs="黑体"/>
          <w:szCs w:val="32"/>
          <w:lang w:eastAsia="zh-CN"/>
        </w:rPr>
        <w:t>二、</w:t>
      </w:r>
      <w:r>
        <w:rPr>
          <w:rFonts w:hint="eastAsia" w:ascii="黑体" w:hAnsi="黑体" w:eastAsia="黑体" w:cs="黑体"/>
          <w:szCs w:val="32"/>
        </w:rPr>
        <w:t>主要技术参数</w:t>
      </w:r>
    </w:p>
    <w:p>
      <w:pPr>
        <w:spacing w:line="560" w:lineRule="exact"/>
        <w:ind w:firstLine="640" w:firstLineChars="200"/>
        <w:jc w:val="left"/>
      </w:pPr>
      <w:r>
        <w:rPr>
          <w:rFonts w:hint="eastAsia"/>
        </w:rPr>
        <w:t>1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一机两用，既可高效的将组织处理成高活性的单细胞悬液，也可以将组织处理成组织匀浆。同时可处理多种不同的组织，包括人肿瘤、脐带、皮肤等组织，以及小鼠肿瘤、脾脏、肝脏、肺脏、神经组织、皮肤、肌肉组织等；</w:t>
      </w:r>
    </w:p>
    <w:p>
      <w:pPr>
        <w:spacing w:line="560" w:lineRule="exact"/>
        <w:ind w:firstLine="640" w:firstLineChars="200"/>
        <w:jc w:val="left"/>
      </w:pPr>
      <w:r>
        <w:rPr>
          <w:rFonts w:hint="eastAsia"/>
        </w:rPr>
        <w:t>2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满足新鲜组织和冰冻组织制备组织匀浆的功能，制备出的组织匀浆可以用于蛋白提取、分析、等应用，也可以满足mRNA提取和cDNA合成，纯化和分选等后续应用；</w:t>
      </w:r>
    </w:p>
    <w:p>
      <w:pPr>
        <w:spacing w:line="560" w:lineRule="exact"/>
        <w:ind w:firstLine="640" w:firstLineChars="200"/>
        <w:jc w:val="left"/>
      </w:pPr>
      <w:r>
        <w:rPr>
          <w:rFonts w:hint="eastAsia"/>
        </w:rPr>
        <w:t>3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仪器必须满足无菌操作要求，如有试剂耗材必须</w:t>
      </w:r>
      <w:bookmarkStart w:id="0" w:name="_GoBack"/>
      <w:bookmarkEnd w:id="0"/>
      <w:r>
        <w:rPr>
          <w:rFonts w:hint="eastAsia"/>
        </w:rPr>
        <w:t>无菌。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/>
  </w:endnote>
  <w:endnote w:type="continuationSeparator" w:id="1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/>
  </w:footnote>
  <w:footnote w:type="continuationSeparator" w:id="1">
    <w:p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YzNjBkOTgyNWQ1YTMxYzM3MzMwNWFiODNmOWIzYWMifQ=="/>
  </w:docVars>
  <w:rsids>
    <w:rsidRoot w:val="16001B93"/>
    <w:rsid w:val="00166C20"/>
    <w:rsid w:val="00171AFD"/>
    <w:rsid w:val="00181887"/>
    <w:rsid w:val="001B6044"/>
    <w:rsid w:val="001F30B4"/>
    <w:rsid w:val="00210576"/>
    <w:rsid w:val="002445B0"/>
    <w:rsid w:val="00267E7C"/>
    <w:rsid w:val="00297D72"/>
    <w:rsid w:val="002B626E"/>
    <w:rsid w:val="0034038A"/>
    <w:rsid w:val="0038577A"/>
    <w:rsid w:val="003F3AFB"/>
    <w:rsid w:val="004676A2"/>
    <w:rsid w:val="00493184"/>
    <w:rsid w:val="004F6D4D"/>
    <w:rsid w:val="005447D7"/>
    <w:rsid w:val="00575C1C"/>
    <w:rsid w:val="0062090F"/>
    <w:rsid w:val="0064468C"/>
    <w:rsid w:val="006B3157"/>
    <w:rsid w:val="006B3A6F"/>
    <w:rsid w:val="00716FFB"/>
    <w:rsid w:val="00742A33"/>
    <w:rsid w:val="00832A4E"/>
    <w:rsid w:val="008701DE"/>
    <w:rsid w:val="008B3C07"/>
    <w:rsid w:val="009E2216"/>
    <w:rsid w:val="00A071F3"/>
    <w:rsid w:val="00A32CA3"/>
    <w:rsid w:val="00A61222"/>
    <w:rsid w:val="00A773C4"/>
    <w:rsid w:val="00AA49B1"/>
    <w:rsid w:val="00AC4D85"/>
    <w:rsid w:val="00B03E5F"/>
    <w:rsid w:val="00B979CD"/>
    <w:rsid w:val="00C27E81"/>
    <w:rsid w:val="00C553F1"/>
    <w:rsid w:val="00C64B96"/>
    <w:rsid w:val="00C82CD0"/>
    <w:rsid w:val="00CB7B1A"/>
    <w:rsid w:val="00D322E6"/>
    <w:rsid w:val="00D7196C"/>
    <w:rsid w:val="00D82396"/>
    <w:rsid w:val="00D91BE4"/>
    <w:rsid w:val="00DC7FC9"/>
    <w:rsid w:val="00DF67BA"/>
    <w:rsid w:val="00F47F6C"/>
    <w:rsid w:val="00F6329E"/>
    <w:rsid w:val="00F74FBB"/>
    <w:rsid w:val="00F944E0"/>
    <w:rsid w:val="00FF542A"/>
    <w:rsid w:val="032F41FE"/>
    <w:rsid w:val="09E2488B"/>
    <w:rsid w:val="0CC2628B"/>
    <w:rsid w:val="0EF54388"/>
    <w:rsid w:val="10802268"/>
    <w:rsid w:val="15EB2A14"/>
    <w:rsid w:val="16001B93"/>
    <w:rsid w:val="16354934"/>
    <w:rsid w:val="19D35F80"/>
    <w:rsid w:val="1AC5768D"/>
    <w:rsid w:val="1B5B0E92"/>
    <w:rsid w:val="1C5F2D37"/>
    <w:rsid w:val="1D1A03AE"/>
    <w:rsid w:val="1DBD2DBE"/>
    <w:rsid w:val="25267993"/>
    <w:rsid w:val="27AA1763"/>
    <w:rsid w:val="27C64EF4"/>
    <w:rsid w:val="28B774E1"/>
    <w:rsid w:val="2B3832C4"/>
    <w:rsid w:val="2D41265D"/>
    <w:rsid w:val="31800CAD"/>
    <w:rsid w:val="368759A7"/>
    <w:rsid w:val="374550F6"/>
    <w:rsid w:val="3EC94928"/>
    <w:rsid w:val="41A63581"/>
    <w:rsid w:val="42315635"/>
    <w:rsid w:val="42E163F2"/>
    <w:rsid w:val="45557392"/>
    <w:rsid w:val="467169C7"/>
    <w:rsid w:val="4B196BAF"/>
    <w:rsid w:val="524D6FD9"/>
    <w:rsid w:val="555E5163"/>
    <w:rsid w:val="5A8612F0"/>
    <w:rsid w:val="5ACC1A03"/>
    <w:rsid w:val="660E0252"/>
    <w:rsid w:val="681E19E3"/>
    <w:rsid w:val="68ED1945"/>
    <w:rsid w:val="69CB0994"/>
    <w:rsid w:val="6A667C0A"/>
    <w:rsid w:val="70DD38B4"/>
    <w:rsid w:val="75000B82"/>
    <w:rsid w:val="7710435C"/>
    <w:rsid w:val="77EB0287"/>
    <w:rsid w:val="7B22149D"/>
    <w:rsid w:val="7BB51B85"/>
    <w:rsid w:val="7C5C7C29"/>
    <w:rsid w:val="7FED4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paragraph" w:styleId="2">
    <w:name w:val="heading 4"/>
    <w:basedOn w:val="1"/>
    <w:next w:val="1"/>
    <w:link w:val="19"/>
    <w:qFormat/>
    <w:uiPriority w:val="99"/>
    <w:pPr>
      <w:keepNext/>
      <w:keepLines/>
      <w:spacing w:before="280" w:after="290" w:line="376" w:lineRule="auto"/>
      <w:outlineLvl w:val="3"/>
    </w:pPr>
    <w:rPr>
      <w:rFonts w:ascii="Cambria" w:hAnsi="Cambria" w:eastAsia="宋体" w:cs="Cambria"/>
      <w:b/>
      <w:bCs/>
      <w:sz w:val="28"/>
      <w:szCs w:val="28"/>
    </w:rPr>
  </w:style>
  <w:style w:type="character" w:default="1" w:styleId="10">
    <w:name w:val="Default Paragraph Font"/>
    <w:unhideWhenUsed/>
    <w:uiPriority w:val="1"/>
  </w:style>
  <w:style w:type="table" w:default="1" w:styleId="12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Body Text"/>
    <w:basedOn w:val="1"/>
    <w:qFormat/>
    <w:uiPriority w:val="0"/>
  </w:style>
  <w:style w:type="paragraph" w:styleId="5">
    <w:name w:val="Body Text Indent"/>
    <w:basedOn w:val="1"/>
    <w:qFormat/>
    <w:uiPriority w:val="0"/>
    <w:pPr>
      <w:ind w:firstLine="514"/>
    </w:pPr>
    <w:rPr>
      <w:rFonts w:ascii="宋体"/>
      <w:sz w:val="28"/>
    </w:rPr>
  </w:style>
  <w:style w:type="paragraph" w:styleId="6">
    <w:name w:val="Balloon Text"/>
    <w:basedOn w:val="1"/>
    <w:link w:val="17"/>
    <w:unhideWhenUsed/>
    <w:qFormat/>
    <w:uiPriority w:val="0"/>
    <w:rPr>
      <w:sz w:val="18"/>
      <w:szCs w:val="18"/>
    </w:rPr>
  </w:style>
  <w:style w:type="paragraph" w:styleId="7">
    <w:name w:val="footer"/>
    <w:basedOn w:val="1"/>
    <w:link w:val="1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qFormat/>
    <w:uiPriority w:val="99"/>
    <w:pPr>
      <w:spacing w:before="100" w:after="100"/>
    </w:pPr>
    <w:rPr>
      <w:rFonts w:ascii="宋体" w:hAnsi="宋体" w:eastAsia="宋体" w:cs="宋体"/>
      <w:color w:val="000000"/>
      <w:kern w:val="2"/>
      <w:sz w:val="24"/>
      <w:szCs w:val="24"/>
      <w:lang w:val="en-US" w:eastAsia="zh-CN" w:bidi="ar-SA"/>
    </w:rPr>
  </w:style>
  <w:style w:type="character" w:styleId="11">
    <w:name w:val="annotation reference"/>
    <w:basedOn w:val="10"/>
    <w:qFormat/>
    <w:uiPriority w:val="0"/>
    <w:rPr>
      <w:sz w:val="21"/>
      <w:szCs w:val="21"/>
    </w:rPr>
  </w:style>
  <w:style w:type="table" w:styleId="13">
    <w:name w:val="Table Grid"/>
    <w:basedOn w:val="1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14">
    <w:name w:val="页眉 字符"/>
    <w:basedOn w:val="10"/>
    <w:link w:val="8"/>
    <w:qFormat/>
    <w:uiPriority w:val="0"/>
    <w:rPr>
      <w:rFonts w:eastAsia="仿宋_GB2312"/>
      <w:kern w:val="2"/>
      <w:sz w:val="18"/>
      <w:szCs w:val="18"/>
    </w:rPr>
  </w:style>
  <w:style w:type="paragraph" w:customStyle="1" w:styleId="15">
    <w:name w:val="Default"/>
    <w:qFormat/>
    <w:uiPriority w:val="0"/>
    <w:pPr>
      <w:autoSpaceDE w:val="0"/>
      <w:autoSpaceDN w:val="0"/>
      <w:adjustRightInd w:val="0"/>
    </w:pPr>
    <w:rPr>
      <w:rFonts w:ascii="仿宋" w:hAnsi="Cambria" w:eastAsia="仿宋" w:cs="仿宋"/>
      <w:color w:val="000000"/>
      <w:kern w:val="2"/>
      <w:sz w:val="24"/>
      <w:szCs w:val="24"/>
      <w:lang w:val="en-US" w:eastAsia="zh-CN" w:bidi="ar-SA"/>
    </w:rPr>
  </w:style>
  <w:style w:type="paragraph" w:customStyle="1" w:styleId="16">
    <w:name w:val="列出段落1"/>
    <w:basedOn w:val="1"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6"/>
    <w:semiHidden/>
    <w:qFormat/>
    <w:uiPriority w:val="0"/>
    <w:rPr>
      <w:rFonts w:eastAsia="仿宋_GB2312"/>
      <w:kern w:val="2"/>
      <w:sz w:val="18"/>
      <w:szCs w:val="18"/>
    </w:rPr>
  </w:style>
  <w:style w:type="character" w:customStyle="1" w:styleId="18">
    <w:name w:val="页脚 字符"/>
    <w:basedOn w:val="10"/>
    <w:link w:val="7"/>
    <w:qFormat/>
    <w:uiPriority w:val="0"/>
    <w:rPr>
      <w:rFonts w:eastAsia="仿宋_GB2312"/>
      <w:kern w:val="2"/>
      <w:sz w:val="18"/>
      <w:szCs w:val="18"/>
    </w:rPr>
  </w:style>
  <w:style w:type="character" w:customStyle="1" w:styleId="19">
    <w:name w:val="标题 4 字符"/>
    <w:basedOn w:val="10"/>
    <w:link w:val="2"/>
    <w:qFormat/>
    <w:uiPriority w:val="99"/>
    <w:rPr>
      <w:rFonts w:ascii="Cambria" w:hAnsi="Cambria" w:cs="Cambria"/>
      <w:b/>
      <w:bCs/>
      <w:kern w:val="2"/>
      <w:sz w:val="28"/>
      <w:szCs w:val="28"/>
    </w:rPr>
  </w:style>
  <w:style w:type="paragraph" w:customStyle="1" w:styleId="20">
    <w:name w:val="修订1"/>
    <w:hidden/>
    <w:semiHidden/>
    <w:qFormat/>
    <w:uiPriority w:val="99"/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245</Words>
  <Characters>1397</Characters>
  <Lines>11</Lines>
  <Paragraphs>3</Paragraphs>
  <TotalTime>0</TotalTime>
  <ScaleCrop>false</ScaleCrop>
  <LinksUpToDate>false</LinksUpToDate>
  <CharactersWithSpaces>1639</CharactersWithSpaces>
  <Application>WPS Office_10.1.0.6638_F1E327BC-269C-435d-A152-05C5408002CA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fjmu</dc:creator>
  <cp:lastModifiedBy>梁鑫</cp:lastModifiedBy>
  <cp:revision>13</cp:revision>
  <dcterms:created xsi:type="dcterms:W3CDTF">2023-11-07T11:42:00Z</dcterms:created>
  <dcterms:modified xsi:type="dcterms:W3CDTF">2023-11-07T08:02:54Z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2052-10.1.0.6638</vt:lpwstr>
  </property>
  <property fmtid="{D5CDD505-2E9C-101B-9397-08002B2CF9AE}" pid="3" name="ICV">
    <vt:lpwstr>A146FFBA51434306A496DDCA3669B4E3_13</vt:lpwstr>
  </property>
</Properties>
</file>